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0A36B" w14:textId="28440361" w:rsidR="004A0A84" w:rsidRPr="0070427C" w:rsidRDefault="004A0A84" w:rsidP="004A0A84">
      <w:pPr>
        <w:spacing w:after="0" w:line="240" w:lineRule="auto"/>
        <w:rPr>
          <w:rFonts w:ascii="Abadi" w:hAnsi="Abadi"/>
          <w:b/>
          <w:bCs/>
          <w:sz w:val="16"/>
          <w:szCs w:val="16"/>
        </w:rPr>
      </w:pPr>
      <w:r w:rsidRPr="0070427C">
        <w:rPr>
          <w:rFonts w:ascii="Abadi" w:hAnsi="Abadi"/>
          <w:b/>
          <w:bCs/>
          <w:sz w:val="16"/>
          <w:szCs w:val="16"/>
        </w:rPr>
        <w:t>_________________________________________________________________</w:t>
      </w:r>
      <w:r>
        <w:rPr>
          <w:rFonts w:ascii="Abadi" w:hAnsi="Abadi"/>
          <w:b/>
          <w:bCs/>
          <w:sz w:val="16"/>
          <w:szCs w:val="16"/>
        </w:rPr>
        <w:t>__________________________________________________</w:t>
      </w:r>
      <w:r w:rsidRPr="0070427C">
        <w:rPr>
          <w:rFonts w:ascii="Abadi" w:hAnsi="Abadi"/>
          <w:b/>
          <w:bCs/>
          <w:sz w:val="16"/>
          <w:szCs w:val="16"/>
        </w:rPr>
        <w:t>_</w:t>
      </w:r>
    </w:p>
    <w:p w14:paraId="7F096D61" w14:textId="1D6D76AF" w:rsidR="00E7184B" w:rsidRDefault="003D53AE" w:rsidP="00E7184B">
      <w:pPr>
        <w:spacing w:after="0" w:line="240" w:lineRule="auto"/>
        <w:rPr>
          <w:rFonts w:ascii="Abadi" w:hAnsi="Abadi"/>
          <w:b/>
          <w:bCs/>
          <w:sz w:val="28"/>
          <w:szCs w:val="28"/>
        </w:rPr>
      </w:pPr>
      <w:r>
        <w:rPr>
          <w:rFonts w:ascii="Abadi" w:hAnsi="Abadi"/>
          <w:b/>
          <w:bCs/>
          <w:sz w:val="28"/>
          <w:szCs w:val="28"/>
        </w:rPr>
        <w:t>B</w:t>
      </w:r>
      <w:r w:rsidR="00E7184B">
        <w:rPr>
          <w:rFonts w:ascii="Abadi" w:hAnsi="Abadi"/>
          <w:b/>
          <w:bCs/>
          <w:sz w:val="28"/>
          <w:szCs w:val="28"/>
        </w:rPr>
        <w:t xml:space="preserve">ulletin </w:t>
      </w:r>
      <w:r w:rsidR="00DE3BC6">
        <w:rPr>
          <w:rFonts w:ascii="Abadi" w:hAnsi="Abadi"/>
          <w:b/>
          <w:bCs/>
          <w:sz w:val="28"/>
          <w:szCs w:val="28"/>
        </w:rPr>
        <w:t>29.1</w:t>
      </w:r>
    </w:p>
    <w:p w14:paraId="0C0130B4" w14:textId="50588B9C" w:rsidR="00BD6DD5" w:rsidRDefault="00DE3BC6" w:rsidP="00E7184B">
      <w:pPr>
        <w:spacing w:after="0" w:line="240" w:lineRule="auto"/>
        <w:rPr>
          <w:rFonts w:ascii="Abadi" w:hAnsi="Abadi"/>
          <w:b/>
          <w:bCs/>
          <w:sz w:val="28"/>
          <w:szCs w:val="28"/>
        </w:rPr>
      </w:pPr>
      <w:r>
        <w:rPr>
          <w:rFonts w:ascii="Abadi" w:hAnsi="Abadi"/>
          <w:b/>
          <w:bCs/>
          <w:sz w:val="28"/>
          <w:szCs w:val="28"/>
        </w:rPr>
        <w:t>US Department of Veterans Affairs – PFAS Health Concerns</w:t>
      </w:r>
    </w:p>
    <w:p w14:paraId="07FFF5EB" w14:textId="029666BC" w:rsidR="00BD6DD5" w:rsidRDefault="00326ADF" w:rsidP="00E7184B">
      <w:pPr>
        <w:spacing w:after="0" w:line="240" w:lineRule="auto"/>
        <w:rPr>
          <w:rFonts w:ascii="Abadi" w:hAnsi="Abadi"/>
          <w:b/>
          <w:bCs/>
          <w:sz w:val="28"/>
          <w:szCs w:val="28"/>
        </w:rPr>
      </w:pPr>
      <w:r>
        <w:rPr>
          <w:rFonts w:ascii="Abadi" w:hAnsi="Abadi"/>
          <w:b/>
          <w:bCs/>
          <w:sz w:val="28"/>
          <w:szCs w:val="28"/>
        </w:rPr>
        <w:t>September 9</w:t>
      </w:r>
      <w:r w:rsidR="00BD6DD5">
        <w:rPr>
          <w:rFonts w:ascii="Abadi" w:hAnsi="Abadi"/>
          <w:b/>
          <w:bCs/>
          <w:sz w:val="28"/>
          <w:szCs w:val="28"/>
        </w:rPr>
        <w:t>, 2025</w:t>
      </w:r>
    </w:p>
    <w:p w14:paraId="5E3CF400" w14:textId="77777777" w:rsidR="003D53AE" w:rsidRDefault="003D53AE" w:rsidP="00326FF3">
      <w:pPr>
        <w:spacing w:after="0" w:line="240" w:lineRule="auto"/>
        <w:rPr>
          <w:rFonts w:ascii="Abadi" w:hAnsi="Abadi"/>
          <w:sz w:val="24"/>
          <w:szCs w:val="24"/>
        </w:rPr>
      </w:pPr>
    </w:p>
    <w:p w14:paraId="5DCF7D58" w14:textId="77777777" w:rsidR="00DE3BC6" w:rsidRPr="0028232C" w:rsidRDefault="00DE3BC6" w:rsidP="00DE3BC6">
      <w:pPr>
        <w:pStyle w:val="Header"/>
        <w:rPr>
          <w:rFonts w:ascii="Arial" w:hAnsi="Arial" w:cs="Arial"/>
        </w:rPr>
      </w:pPr>
    </w:p>
    <w:p w14:paraId="7C0893EC" w14:textId="77777777" w:rsidR="00DE3BC6" w:rsidRPr="0028232C" w:rsidRDefault="00DE3BC6" w:rsidP="00DE3BC6">
      <w:pPr>
        <w:pStyle w:val="Header"/>
        <w:spacing w:line="360" w:lineRule="auto"/>
        <w:rPr>
          <w:rFonts w:ascii="Arial" w:hAnsi="Arial" w:cs="Arial"/>
        </w:rPr>
      </w:pPr>
      <w:r w:rsidRPr="0028232C">
        <w:rPr>
          <w:rFonts w:ascii="Arial" w:hAnsi="Arial" w:cs="Arial"/>
        </w:rPr>
        <w:t>Active-Duty military firefighters can obtain a PFAS blood test panel only during their annual physical. Retired military firefighters have no option for a PFAS blood test through the U.S. Department of Veterans Affairs (VA). They can, however, obtain a PFAS blood test if they pay for it out-of-pocket.</w:t>
      </w:r>
    </w:p>
    <w:p w14:paraId="701FC7B5" w14:textId="77777777" w:rsidR="00DE3BC6" w:rsidRPr="0028232C" w:rsidRDefault="00DE3BC6" w:rsidP="00DE3BC6">
      <w:pPr>
        <w:shd w:val="clear" w:color="auto" w:fill="FFFFFF"/>
        <w:spacing w:after="0" w:line="360" w:lineRule="atLeast"/>
        <w:rPr>
          <w:rFonts w:ascii="Arial" w:eastAsia="Times New Roman" w:hAnsi="Arial" w:cs="Arial"/>
          <w:color w:val="2E2E2E"/>
        </w:rPr>
      </w:pPr>
    </w:p>
    <w:p w14:paraId="0E3D5814" w14:textId="77777777" w:rsidR="00DE3BC6" w:rsidRPr="0028232C" w:rsidRDefault="00DE3BC6" w:rsidP="00DE3BC6">
      <w:pPr>
        <w:shd w:val="clear" w:color="auto" w:fill="FFFFFF"/>
        <w:spacing w:after="0" w:line="240" w:lineRule="auto"/>
        <w:ind w:left="720"/>
        <w:rPr>
          <w:rFonts w:ascii="Arial" w:eastAsia="Times New Roman" w:hAnsi="Arial" w:cs="Arial"/>
          <w:color w:val="2E2E2E"/>
        </w:rPr>
      </w:pPr>
      <w:r w:rsidRPr="0028232C">
        <w:rPr>
          <w:rFonts w:ascii="Arial" w:eastAsia="Times New Roman" w:hAnsi="Arial" w:cs="Arial"/>
          <w:color w:val="2E2E2E"/>
        </w:rPr>
        <w:t>“In the 1970s, the Department of Defense (DoD) began using [Aqueous Film-Forming Foams] AFFF to fight fuel fires. The release of these chemicals into the environment during training and emergency responses is a major source of PFAS contamination of ground water on military bases.</w:t>
      </w:r>
    </w:p>
    <w:p w14:paraId="6268AB57" w14:textId="77777777" w:rsidR="00DE3BC6" w:rsidRPr="0028232C" w:rsidRDefault="00DE3BC6" w:rsidP="00DE3BC6">
      <w:pPr>
        <w:shd w:val="clear" w:color="auto" w:fill="FFFFFF"/>
        <w:spacing w:after="0" w:line="240" w:lineRule="auto"/>
        <w:ind w:left="720" w:hanging="720"/>
        <w:rPr>
          <w:rFonts w:ascii="Arial" w:eastAsia="Times New Roman" w:hAnsi="Arial" w:cs="Arial"/>
          <w:color w:val="2E2E2E"/>
        </w:rPr>
      </w:pPr>
      <w:r w:rsidRPr="0028232C">
        <w:rPr>
          <w:rFonts w:ascii="Arial" w:eastAsia="Times New Roman" w:hAnsi="Arial" w:cs="Arial"/>
          <w:color w:val="2E2E2E"/>
        </w:rPr>
        <w:fldChar w:fldCharType="begin"/>
      </w:r>
      <w:r w:rsidRPr="0028232C">
        <w:rPr>
          <w:rFonts w:ascii="Arial" w:eastAsia="Times New Roman" w:hAnsi="Arial" w:cs="Arial"/>
          <w:color w:val="2E2E2E"/>
        </w:rPr>
        <w:instrText xml:space="preserve"> INCLUDEPICTURE "https://www.publichealth.va.gov/images/hazexp/foam-web.jpg" \* MERGEFORMATINET </w:instrText>
      </w:r>
      <w:r w:rsidRPr="0028232C">
        <w:rPr>
          <w:rFonts w:ascii="Arial" w:eastAsia="Times New Roman" w:hAnsi="Arial" w:cs="Arial"/>
          <w:color w:val="2E2E2E"/>
        </w:rPr>
        <w:fldChar w:fldCharType="separate"/>
      </w:r>
      <w:r w:rsidRPr="0028232C">
        <w:rPr>
          <w:rFonts w:ascii="Arial" w:eastAsia="Times New Roman" w:hAnsi="Arial" w:cs="Arial"/>
          <w:color w:val="2E2E2E"/>
        </w:rPr>
        <w:fldChar w:fldCharType="end"/>
      </w:r>
    </w:p>
    <w:p w14:paraId="64820BA9" w14:textId="40F0B4FE" w:rsidR="00DE3BC6" w:rsidRPr="0028232C" w:rsidRDefault="00DE3BC6" w:rsidP="00DE3BC6">
      <w:pPr>
        <w:shd w:val="clear" w:color="auto" w:fill="FFFFFF"/>
        <w:spacing w:after="0" w:line="240" w:lineRule="auto"/>
        <w:ind w:left="720"/>
        <w:rPr>
          <w:rFonts w:ascii="Arial" w:eastAsia="Times New Roman" w:hAnsi="Arial" w:cs="Arial"/>
          <w:color w:val="2E2E2E"/>
        </w:rPr>
      </w:pPr>
      <w:r w:rsidRPr="0028232C">
        <w:rPr>
          <w:rFonts w:ascii="Arial" w:eastAsia="Times New Roman" w:hAnsi="Arial" w:cs="Arial"/>
          <w:color w:val="2E2E2E"/>
        </w:rPr>
        <w:t xml:space="preserve">Concerns have recently </w:t>
      </w:r>
      <w:proofErr w:type="gramStart"/>
      <w:r w:rsidRPr="0028232C">
        <w:rPr>
          <w:rFonts w:ascii="Arial" w:eastAsia="Times New Roman" w:hAnsi="Arial" w:cs="Arial"/>
          <w:color w:val="2E2E2E"/>
        </w:rPr>
        <w:t>been raised</w:t>
      </w:r>
      <w:proofErr w:type="gramEnd"/>
      <w:r w:rsidRPr="0028232C">
        <w:rPr>
          <w:rFonts w:ascii="Arial" w:eastAsia="Times New Roman" w:hAnsi="Arial" w:cs="Arial"/>
          <w:color w:val="2E2E2E"/>
        </w:rPr>
        <w:t xml:space="preserve"> from communities surrounding bases about whether PFAS-contaminated ground water on military bases may be affecting off-base water supplies. </w:t>
      </w:r>
      <w:r w:rsidRPr="0028232C">
        <w:rPr>
          <w:rFonts w:ascii="Arial" w:hAnsi="Arial" w:cs="Arial"/>
          <w:b/>
          <w:bCs/>
          <w:i/>
          <w:iCs/>
          <w:color w:val="2E2E2E"/>
          <w:u w:val="single"/>
          <w:shd w:val="clear" w:color="auto" w:fill="FFFFFF"/>
        </w:rPr>
        <w:t xml:space="preserve">The Department of Defense (DOD) </w:t>
      </w:r>
      <w:proofErr w:type="gramStart"/>
      <w:r w:rsidRPr="0028232C">
        <w:rPr>
          <w:rFonts w:ascii="Arial" w:hAnsi="Arial" w:cs="Arial"/>
          <w:b/>
          <w:bCs/>
          <w:i/>
          <w:iCs/>
          <w:color w:val="2E2E2E"/>
          <w:u w:val="single"/>
          <w:shd w:val="clear" w:color="auto" w:fill="FFFFFF"/>
        </w:rPr>
        <w:t>conducted an investigation into</w:t>
      </w:r>
      <w:proofErr w:type="gramEnd"/>
      <w:r w:rsidRPr="0028232C">
        <w:rPr>
          <w:rFonts w:ascii="Arial" w:hAnsi="Arial" w:cs="Arial"/>
          <w:b/>
          <w:bCs/>
          <w:i/>
          <w:iCs/>
          <w:color w:val="2E2E2E"/>
          <w:u w:val="single"/>
          <w:shd w:val="clear" w:color="auto" w:fill="FFFFFF"/>
        </w:rPr>
        <w:t xml:space="preserve"> the extent of PFAS contamination on its bases and identified 723 installations where PFAS may have </w:t>
      </w:r>
      <w:proofErr w:type="gramStart"/>
      <w:r w:rsidRPr="0028232C">
        <w:rPr>
          <w:rFonts w:ascii="Arial" w:hAnsi="Arial" w:cs="Arial"/>
          <w:b/>
          <w:bCs/>
          <w:i/>
          <w:iCs/>
          <w:color w:val="2E2E2E"/>
          <w:u w:val="single"/>
          <w:shd w:val="clear" w:color="auto" w:fill="FFFFFF"/>
        </w:rPr>
        <w:t>been used</w:t>
      </w:r>
      <w:proofErr w:type="gramEnd"/>
      <w:r w:rsidRPr="0028232C">
        <w:rPr>
          <w:rFonts w:ascii="Arial" w:hAnsi="Arial" w:cs="Arial"/>
          <w:b/>
          <w:bCs/>
          <w:i/>
          <w:iCs/>
          <w:color w:val="2E2E2E"/>
          <w:u w:val="single"/>
          <w:shd w:val="clear" w:color="auto" w:fill="FFFFFF"/>
        </w:rPr>
        <w:t xml:space="preserve"> or released. These bases are currently undergoing cleanup, and PFAS-containing AFFF </w:t>
      </w:r>
      <w:proofErr w:type="gramStart"/>
      <w:r w:rsidRPr="0028232C">
        <w:rPr>
          <w:rFonts w:ascii="Arial" w:hAnsi="Arial" w:cs="Arial"/>
          <w:b/>
          <w:bCs/>
          <w:i/>
          <w:iCs/>
          <w:color w:val="2E2E2E"/>
          <w:u w:val="single"/>
          <w:shd w:val="clear" w:color="auto" w:fill="FFFFFF"/>
        </w:rPr>
        <w:t>is no longer used</w:t>
      </w:r>
      <w:proofErr w:type="gramEnd"/>
      <w:r w:rsidRPr="0028232C">
        <w:rPr>
          <w:rFonts w:ascii="Arial" w:hAnsi="Arial" w:cs="Arial"/>
          <w:b/>
          <w:bCs/>
          <w:i/>
          <w:iCs/>
          <w:color w:val="2E2E2E"/>
          <w:u w:val="single"/>
          <w:shd w:val="clear" w:color="auto" w:fill="FFFFFF"/>
        </w:rPr>
        <w:t xml:space="preserve"> for training. DOD plans to completely phase out the use of these foams by October 2025</w:t>
      </w:r>
      <w:r w:rsidRPr="0028232C">
        <w:rPr>
          <w:rFonts w:ascii="Arial" w:hAnsi="Arial" w:cs="Arial"/>
          <w:color w:val="2E2E2E"/>
          <w:shd w:val="clear" w:color="auto" w:fill="FFFFFF"/>
        </w:rPr>
        <w:t>.</w:t>
      </w:r>
      <w:r w:rsidRPr="0028232C">
        <w:rPr>
          <w:rFonts w:ascii="Arial" w:eastAsia="Times New Roman" w:hAnsi="Arial" w:cs="Arial"/>
          <w:color w:val="2E2E2E"/>
        </w:rPr>
        <w:t>”</w:t>
      </w:r>
      <w:r w:rsidRPr="0028232C">
        <w:rPr>
          <w:rFonts w:ascii="Arial" w:eastAsia="Times New Roman" w:hAnsi="Arial" w:cs="Arial"/>
          <w:color w:val="2E2E2E"/>
          <w:vertAlign w:val="superscript"/>
        </w:rPr>
        <w:t>1</w:t>
      </w:r>
    </w:p>
    <w:p w14:paraId="6C06312D" w14:textId="77777777" w:rsidR="00DE3BC6" w:rsidRPr="0028232C" w:rsidRDefault="00DE3BC6" w:rsidP="00DE3BC6">
      <w:pPr>
        <w:shd w:val="clear" w:color="auto" w:fill="FFFFFF"/>
        <w:spacing w:after="0" w:line="240" w:lineRule="auto"/>
        <w:rPr>
          <w:rFonts w:ascii="Arial" w:eastAsia="Times New Roman" w:hAnsi="Arial" w:cs="Arial"/>
          <w:color w:val="292B2C"/>
        </w:rPr>
      </w:pPr>
    </w:p>
    <w:p w14:paraId="449982EF" w14:textId="10D1A944" w:rsidR="00DE3BC6" w:rsidRPr="0028232C" w:rsidRDefault="00DE3BC6" w:rsidP="00DE3BC6">
      <w:pPr>
        <w:shd w:val="clear" w:color="auto" w:fill="FFFFFF"/>
        <w:spacing w:after="0" w:line="360" w:lineRule="auto"/>
        <w:rPr>
          <w:rFonts w:ascii="Arial" w:eastAsia="Times New Roman" w:hAnsi="Arial" w:cs="Arial"/>
          <w:color w:val="292B2C"/>
        </w:rPr>
      </w:pPr>
      <w:r w:rsidRPr="0028232C">
        <w:rPr>
          <w:rFonts w:ascii="Arial" w:eastAsia="Times New Roman" w:hAnsi="Arial" w:cs="Arial"/>
          <w:color w:val="292B2C"/>
        </w:rPr>
        <w:t>The VA reports “if you are concerned about health problems associated with exposure to firefighting foam during your military service, you should talk to your health care provider or local VA Environmental Health Coordinator.”</w:t>
      </w:r>
      <w:r w:rsidRPr="0028232C">
        <w:rPr>
          <w:rFonts w:ascii="Arial" w:eastAsia="Times New Roman" w:hAnsi="Arial" w:cs="Arial"/>
          <w:color w:val="292B2C"/>
          <w:vertAlign w:val="superscript"/>
        </w:rPr>
        <w:t>2</w:t>
      </w:r>
      <w:r w:rsidRPr="0028232C">
        <w:rPr>
          <w:rFonts w:ascii="Arial" w:eastAsia="Times New Roman" w:hAnsi="Arial" w:cs="Arial"/>
          <w:color w:val="292B2C"/>
        </w:rPr>
        <w:t xml:space="preserve"> </w:t>
      </w:r>
      <w:r w:rsidR="0028232C" w:rsidRPr="0028232C">
        <w:rPr>
          <w:rFonts w:ascii="Arial" w:hAnsi="Arial" w:cs="Arial"/>
          <w:color w:val="2E2E2E"/>
          <w:shd w:val="clear" w:color="auto" w:fill="FFFFFF"/>
        </w:rPr>
        <w:t>Currently, there are no presumptions related to PFAS exposure in the military. However, Veterans may file a claim for disability compensation for health problems they believe are related to exposure to chemicals during military service. VA decides these claims on a case-by-case basis</w:t>
      </w:r>
      <w:r w:rsidR="003F1254">
        <w:rPr>
          <w:rFonts w:ascii="Arial" w:hAnsi="Arial" w:cs="Arial"/>
          <w:color w:val="2E2E2E"/>
          <w:shd w:val="clear" w:color="auto" w:fill="FFFFFF"/>
        </w:rPr>
        <w:t>.”</w:t>
      </w:r>
    </w:p>
    <w:p w14:paraId="5040E0C4" w14:textId="77777777" w:rsidR="00DE3BC6" w:rsidRDefault="00DE3BC6" w:rsidP="00DE3BC6">
      <w:pPr>
        <w:shd w:val="clear" w:color="auto" w:fill="FFFFFF"/>
        <w:spacing w:after="0" w:line="240" w:lineRule="auto"/>
        <w:rPr>
          <w:rFonts w:ascii="Arial" w:eastAsia="Times New Roman" w:hAnsi="Arial" w:cs="Arial"/>
          <w:color w:val="292B2C"/>
        </w:rPr>
      </w:pPr>
    </w:p>
    <w:p w14:paraId="6C8867ED" w14:textId="3A6455BD" w:rsidR="003F1254" w:rsidRPr="0028232C" w:rsidRDefault="00326ADF" w:rsidP="00326ADF">
      <w:pPr>
        <w:shd w:val="clear" w:color="auto" w:fill="FFFFFF"/>
        <w:spacing w:after="0" w:line="240" w:lineRule="auto"/>
        <w:ind w:left="576" w:hanging="288"/>
        <w:rPr>
          <w:rFonts w:ascii="Arial" w:eastAsia="Times New Roman" w:hAnsi="Arial" w:cs="Arial"/>
          <w:color w:val="292B2C"/>
        </w:rPr>
      </w:pPr>
      <w:r>
        <w:rPr>
          <w:rFonts w:ascii="Arial" w:eastAsia="Times New Roman" w:hAnsi="Arial" w:cs="Arial"/>
          <w:color w:val="292B2C"/>
        </w:rPr>
        <w:t xml:space="preserve">    </w:t>
      </w:r>
      <w:r w:rsidR="003F1254">
        <w:rPr>
          <w:rFonts w:ascii="Arial" w:eastAsia="Times New Roman" w:hAnsi="Arial" w:cs="Arial"/>
          <w:color w:val="292B2C"/>
        </w:rPr>
        <w:t>“</w:t>
      </w:r>
      <w:r w:rsidR="003F1254" w:rsidRPr="003F1254">
        <w:rPr>
          <w:rFonts w:ascii="Arial" w:eastAsia="Times New Roman" w:hAnsi="Arial" w:cs="Arial"/>
          <w:color w:val="292B2C"/>
        </w:rPr>
        <w:t>DOD uses AFFF in about 1,500 facilities and over 6,800 mobile assets worldwide, including tactical and non-tactical mobile assets.</w:t>
      </w:r>
      <w:r w:rsidR="003F1254">
        <w:rPr>
          <w:rFonts w:ascii="Arial" w:eastAsia="Times New Roman" w:hAnsi="Arial" w:cs="Arial"/>
          <w:color w:val="292B2C"/>
        </w:rPr>
        <w:t>”</w:t>
      </w:r>
    </w:p>
    <w:p w14:paraId="42E3A44D" w14:textId="77777777" w:rsidR="00DE3BC6" w:rsidRPr="000D73C9" w:rsidRDefault="00DE3BC6" w:rsidP="00DE3BC6">
      <w:pPr>
        <w:shd w:val="clear" w:color="auto" w:fill="FFFFFF"/>
        <w:spacing w:after="0" w:line="240" w:lineRule="auto"/>
        <w:ind w:left="720"/>
        <w:rPr>
          <w:rFonts w:ascii="Arial" w:eastAsia="Times New Roman" w:hAnsi="Arial" w:cs="Arial"/>
          <w:color w:val="292B2C"/>
          <w:sz w:val="24"/>
          <w:szCs w:val="24"/>
          <w:vertAlign w:val="superscript"/>
        </w:rPr>
      </w:pPr>
    </w:p>
    <w:p w14:paraId="3222E741" w14:textId="324CC1D9" w:rsidR="00DE3BC6" w:rsidRDefault="00DE3BC6" w:rsidP="00DE3BC6">
      <w:pPr>
        <w:pStyle w:val="Header"/>
        <w:numPr>
          <w:ilvl w:val="0"/>
          <w:numId w:val="3"/>
        </w:numPr>
        <w:ind w:left="288" w:hanging="288"/>
        <w:rPr>
          <w:rFonts w:ascii="Arial" w:hAnsi="Arial" w:cs="Arial"/>
          <w:sz w:val="16"/>
          <w:szCs w:val="16"/>
        </w:rPr>
      </w:pPr>
      <w:r>
        <w:rPr>
          <w:rFonts w:ascii="Arial" w:hAnsi="Arial" w:cs="Arial"/>
          <w:sz w:val="16"/>
          <w:szCs w:val="16"/>
        </w:rPr>
        <w:t xml:space="preserve">U.S. Department of Veterans, PFAS – Perfluoroalkyl and polyfluoroalkyl substances, accessed 8/23/2025,  </w:t>
      </w:r>
      <w:hyperlink r:id="rId7" w:history="1">
        <w:r w:rsidRPr="00C5155D">
          <w:rPr>
            <w:rStyle w:val="Hyperlink"/>
            <w:rFonts w:ascii="Arial" w:hAnsi="Arial" w:cs="Arial"/>
            <w:sz w:val="16"/>
            <w:szCs w:val="16"/>
          </w:rPr>
          <w:t>https://www.publichealth.va.gov/exposures/pfas.asp</w:t>
        </w:r>
      </w:hyperlink>
      <w:r>
        <w:rPr>
          <w:rFonts w:ascii="Arial" w:hAnsi="Arial" w:cs="Arial"/>
          <w:sz w:val="16"/>
          <w:szCs w:val="16"/>
        </w:rPr>
        <w:t xml:space="preserve">   </w:t>
      </w:r>
    </w:p>
    <w:p w14:paraId="000E74D2" w14:textId="77777777" w:rsidR="00DE3BC6" w:rsidRDefault="00DE3BC6" w:rsidP="00DE3BC6">
      <w:pPr>
        <w:pStyle w:val="Header"/>
        <w:numPr>
          <w:ilvl w:val="0"/>
          <w:numId w:val="3"/>
        </w:numPr>
        <w:ind w:left="288" w:hanging="288"/>
        <w:rPr>
          <w:rFonts w:ascii="Arial" w:hAnsi="Arial" w:cs="Arial"/>
          <w:sz w:val="16"/>
          <w:szCs w:val="16"/>
        </w:rPr>
      </w:pPr>
      <w:r>
        <w:rPr>
          <w:rFonts w:ascii="Arial" w:hAnsi="Arial" w:cs="Arial"/>
          <w:sz w:val="16"/>
          <w:szCs w:val="16"/>
        </w:rPr>
        <w:t>ibid.</w:t>
      </w:r>
    </w:p>
    <w:p w14:paraId="4665AE74" w14:textId="3057F04D" w:rsidR="003F1254" w:rsidRPr="003F1254" w:rsidRDefault="00DE3BC6" w:rsidP="00B33CED">
      <w:pPr>
        <w:pStyle w:val="Header"/>
        <w:numPr>
          <w:ilvl w:val="0"/>
          <w:numId w:val="3"/>
        </w:numPr>
        <w:ind w:left="288" w:hanging="288"/>
      </w:pPr>
      <w:r w:rsidRPr="003F1254">
        <w:rPr>
          <w:rFonts w:ascii="Arial" w:hAnsi="Arial" w:cs="Arial"/>
          <w:sz w:val="16"/>
          <w:szCs w:val="16"/>
        </w:rPr>
        <w:t>Firefighting Foam</w:t>
      </w:r>
      <w:r w:rsidR="003F1254" w:rsidRPr="003F1254">
        <w:rPr>
          <w:rFonts w:ascii="Arial" w:hAnsi="Arial" w:cs="Arial"/>
          <w:sz w:val="16"/>
          <w:szCs w:val="16"/>
        </w:rPr>
        <w:t xml:space="preserve">, DOD Is Working to Address Challenges to Transitioning to PFAS-Free Alternatives, July 2024, </w:t>
      </w:r>
      <w:hyperlink r:id="rId8" w:history="1">
        <w:r w:rsidR="003F1254" w:rsidRPr="004A0D3A">
          <w:rPr>
            <w:rStyle w:val="Hyperlink"/>
            <w:rFonts w:ascii="Arial" w:hAnsi="Arial" w:cs="Arial"/>
            <w:sz w:val="16"/>
            <w:szCs w:val="16"/>
          </w:rPr>
          <w:t>https://www.gao.gov/assets/gao-24-107322.pdf</w:t>
        </w:r>
      </w:hyperlink>
    </w:p>
    <w:p w14:paraId="49BB7099" w14:textId="3C1CB7A6" w:rsidR="00DE3BC6" w:rsidRDefault="00DE3BC6" w:rsidP="003F1254">
      <w:pPr>
        <w:pStyle w:val="Header"/>
        <w:ind w:left="288"/>
      </w:pPr>
    </w:p>
    <w:p w14:paraId="7DD077B7" w14:textId="77777777" w:rsidR="003F1254" w:rsidRDefault="003F1254" w:rsidP="00326FF3">
      <w:pPr>
        <w:spacing w:after="0" w:line="240" w:lineRule="auto"/>
        <w:rPr>
          <w:rFonts w:ascii="Arial" w:hAnsi="Arial" w:cs="Arial"/>
        </w:rPr>
      </w:pPr>
    </w:p>
    <w:p w14:paraId="375882C8" w14:textId="34BE264F" w:rsidR="00295059" w:rsidRPr="009605A1" w:rsidRDefault="00DE3BC6" w:rsidP="00326FF3">
      <w:pPr>
        <w:spacing w:after="0" w:line="240" w:lineRule="auto"/>
        <w:rPr>
          <w:rFonts w:ascii="Arial" w:hAnsi="Arial" w:cs="Arial"/>
        </w:rPr>
      </w:pPr>
      <w:r>
        <w:rPr>
          <w:rFonts w:ascii="Arial" w:hAnsi="Arial" w:cs="Arial"/>
        </w:rPr>
        <w:t xml:space="preserve">Vicki Quint, </w:t>
      </w:r>
      <w:r w:rsidRPr="000D73C9">
        <w:rPr>
          <w:rFonts w:ascii="Arial" w:hAnsi="Arial" w:cs="Arial"/>
        </w:rPr>
        <w:t>Foam Exposure Committee</w:t>
      </w:r>
    </w:p>
    <w:sectPr w:rsidR="00295059" w:rsidRPr="009605A1" w:rsidSect="00E663A4">
      <w:headerReference w:type="default" r:id="rId9"/>
      <w:pgSz w:w="12240" w:h="15840"/>
      <w:pgMar w:top="1152"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76DB9" w14:textId="77777777" w:rsidR="00143DBE" w:rsidRDefault="00143DBE" w:rsidP="0070427C">
      <w:pPr>
        <w:spacing w:after="0" w:line="240" w:lineRule="auto"/>
      </w:pPr>
      <w:r>
        <w:separator/>
      </w:r>
    </w:p>
  </w:endnote>
  <w:endnote w:type="continuationSeparator" w:id="0">
    <w:p w14:paraId="3419B2EB" w14:textId="77777777" w:rsidR="00143DBE" w:rsidRDefault="00143DBE" w:rsidP="00704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56435" w14:textId="77777777" w:rsidR="00143DBE" w:rsidRDefault="00143DBE" w:rsidP="0070427C">
      <w:pPr>
        <w:spacing w:after="0" w:line="240" w:lineRule="auto"/>
      </w:pPr>
      <w:r>
        <w:separator/>
      </w:r>
    </w:p>
  </w:footnote>
  <w:footnote w:type="continuationSeparator" w:id="0">
    <w:p w14:paraId="6B985D8E" w14:textId="77777777" w:rsidR="00143DBE" w:rsidRDefault="00143DBE" w:rsidP="00704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3F73" w14:textId="74C45F42" w:rsidR="004A0A84" w:rsidRDefault="0063481E" w:rsidP="009F6D9D">
    <w:pPr>
      <w:pStyle w:val="Header"/>
      <w:tabs>
        <w:tab w:val="left" w:pos="5200"/>
      </w:tabs>
      <w:jc w:val="both"/>
    </w:pPr>
    <w:r>
      <w:rPr>
        <w:noProof/>
      </w:rPr>
      <w:drawing>
        <wp:inline distT="0" distB="0" distL="0" distR="0" wp14:anchorId="36C8156A" wp14:editId="6DF7037D">
          <wp:extent cx="1292250" cy="1143000"/>
          <wp:effectExtent l="0" t="0" r="3175" b="0"/>
          <wp:docPr id="1652483771" name="Picture 1652483771" descr="A close up of a fi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fir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409881" cy="1247045"/>
                  </a:xfrm>
                  <a:prstGeom prst="rect">
                    <a:avLst/>
                  </a:prstGeom>
                </pic:spPr>
              </pic:pic>
            </a:graphicData>
          </a:graphic>
        </wp:inline>
      </w:drawing>
    </w:r>
    <w:r w:rsidR="00E7184B">
      <w:rPr>
        <w:noProof/>
      </w:rPr>
      <w:drawing>
        <wp:inline distT="0" distB="0" distL="0" distR="0" wp14:anchorId="76946F1F" wp14:editId="6954CB31">
          <wp:extent cx="2209165" cy="1019615"/>
          <wp:effectExtent l="0" t="0" r="635" b="9525"/>
          <wp:docPr id="1196576121" name="Picture 11965761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270861" cy="1048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42C81"/>
    <w:multiLevelType w:val="hybridMultilevel"/>
    <w:tmpl w:val="98E4F6E6"/>
    <w:lvl w:ilvl="0" w:tplc="67664C26">
      <w:start w:val="1"/>
      <w:numFmt w:val="decimal"/>
      <w:lvlText w:val="%1"/>
      <w:lvlJc w:val="left"/>
      <w:pPr>
        <w:ind w:left="360" w:hanging="360"/>
      </w:pPr>
      <w:rPr>
        <w:rFonts w:hint="default"/>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8B133FB"/>
    <w:multiLevelType w:val="multilevel"/>
    <w:tmpl w:val="AAD0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E60F38"/>
    <w:multiLevelType w:val="hybridMultilevel"/>
    <w:tmpl w:val="48EE30D8"/>
    <w:lvl w:ilvl="0" w:tplc="EA22D434">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16cid:durableId="1614090900">
    <w:abstractNumId w:val="1"/>
  </w:num>
  <w:num w:numId="2" w16cid:durableId="2127771241">
    <w:abstractNumId w:val="0"/>
  </w:num>
  <w:num w:numId="3" w16cid:durableId="198784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27C"/>
    <w:rsid w:val="00070792"/>
    <w:rsid w:val="00075BE7"/>
    <w:rsid w:val="000B4114"/>
    <w:rsid w:val="00143DBE"/>
    <w:rsid w:val="001476B8"/>
    <w:rsid w:val="00150D62"/>
    <w:rsid w:val="0017519F"/>
    <w:rsid w:val="00184EB8"/>
    <w:rsid w:val="0018526A"/>
    <w:rsid w:val="001A76F3"/>
    <w:rsid w:val="002376B4"/>
    <w:rsid w:val="002379D9"/>
    <w:rsid w:val="0028232C"/>
    <w:rsid w:val="00295059"/>
    <w:rsid w:val="00313251"/>
    <w:rsid w:val="00326ADF"/>
    <w:rsid w:val="00326FF3"/>
    <w:rsid w:val="0033134C"/>
    <w:rsid w:val="00351E51"/>
    <w:rsid w:val="0039151C"/>
    <w:rsid w:val="00395833"/>
    <w:rsid w:val="003B1309"/>
    <w:rsid w:val="003C019A"/>
    <w:rsid w:val="003D53AE"/>
    <w:rsid w:val="003F1254"/>
    <w:rsid w:val="00462F40"/>
    <w:rsid w:val="00480DE5"/>
    <w:rsid w:val="004A0A84"/>
    <w:rsid w:val="0051516E"/>
    <w:rsid w:val="005265E4"/>
    <w:rsid w:val="00586637"/>
    <w:rsid w:val="005A1C2D"/>
    <w:rsid w:val="005D5304"/>
    <w:rsid w:val="00634703"/>
    <w:rsid w:val="0063481E"/>
    <w:rsid w:val="006A5E0B"/>
    <w:rsid w:val="006F7661"/>
    <w:rsid w:val="0070427C"/>
    <w:rsid w:val="007E49BF"/>
    <w:rsid w:val="008231DA"/>
    <w:rsid w:val="00826EAC"/>
    <w:rsid w:val="00892E9F"/>
    <w:rsid w:val="009605A1"/>
    <w:rsid w:val="00974C0C"/>
    <w:rsid w:val="009A0C3D"/>
    <w:rsid w:val="009F42CC"/>
    <w:rsid w:val="009F4821"/>
    <w:rsid w:val="009F6D9D"/>
    <w:rsid w:val="00AB5C21"/>
    <w:rsid w:val="00AD07F8"/>
    <w:rsid w:val="00BC3EE9"/>
    <w:rsid w:val="00BD6DD5"/>
    <w:rsid w:val="00C07EB5"/>
    <w:rsid w:val="00C1618E"/>
    <w:rsid w:val="00C337C6"/>
    <w:rsid w:val="00CC6EBA"/>
    <w:rsid w:val="00CD3E34"/>
    <w:rsid w:val="00CF06E2"/>
    <w:rsid w:val="00D14BD2"/>
    <w:rsid w:val="00D42B9A"/>
    <w:rsid w:val="00D61235"/>
    <w:rsid w:val="00D71C78"/>
    <w:rsid w:val="00D87CBF"/>
    <w:rsid w:val="00DE3BC6"/>
    <w:rsid w:val="00DF6A79"/>
    <w:rsid w:val="00E24D6E"/>
    <w:rsid w:val="00E663A4"/>
    <w:rsid w:val="00E7184B"/>
    <w:rsid w:val="00F21CBB"/>
    <w:rsid w:val="00F7203D"/>
    <w:rsid w:val="00F87737"/>
    <w:rsid w:val="00F91EDE"/>
    <w:rsid w:val="00FF6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B0D70FD"/>
  <w15:chartTrackingRefBased/>
  <w15:docId w15:val="{29574A39-02E6-42ED-9862-975C58A6F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132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31325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27C"/>
  </w:style>
  <w:style w:type="paragraph" w:styleId="Footer">
    <w:name w:val="footer"/>
    <w:basedOn w:val="Normal"/>
    <w:link w:val="FooterChar"/>
    <w:uiPriority w:val="99"/>
    <w:unhideWhenUsed/>
    <w:rsid w:val="00704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27C"/>
  </w:style>
  <w:style w:type="character" w:styleId="Hyperlink">
    <w:name w:val="Hyperlink"/>
    <w:basedOn w:val="DefaultParagraphFont"/>
    <w:uiPriority w:val="99"/>
    <w:unhideWhenUsed/>
    <w:rsid w:val="004A0A84"/>
    <w:rPr>
      <w:color w:val="0563C1" w:themeColor="hyperlink"/>
      <w:u w:val="single"/>
    </w:rPr>
  </w:style>
  <w:style w:type="character" w:styleId="UnresolvedMention">
    <w:name w:val="Unresolved Mention"/>
    <w:basedOn w:val="DefaultParagraphFont"/>
    <w:uiPriority w:val="99"/>
    <w:semiHidden/>
    <w:unhideWhenUsed/>
    <w:rsid w:val="004A0A84"/>
    <w:rPr>
      <w:color w:val="605E5C"/>
      <w:shd w:val="clear" w:color="auto" w:fill="E1DFDD"/>
    </w:rPr>
  </w:style>
  <w:style w:type="character" w:customStyle="1" w:styleId="Heading2Char">
    <w:name w:val="Heading 2 Char"/>
    <w:basedOn w:val="DefaultParagraphFont"/>
    <w:link w:val="Heading2"/>
    <w:uiPriority w:val="9"/>
    <w:rsid w:val="00313251"/>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31325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1325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D6D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94220">
      <w:bodyDiv w:val="1"/>
      <w:marLeft w:val="0"/>
      <w:marRight w:val="0"/>
      <w:marTop w:val="0"/>
      <w:marBottom w:val="0"/>
      <w:divBdr>
        <w:top w:val="none" w:sz="0" w:space="0" w:color="auto"/>
        <w:left w:val="none" w:sz="0" w:space="0" w:color="auto"/>
        <w:bottom w:val="none" w:sz="0" w:space="0" w:color="auto"/>
        <w:right w:val="none" w:sz="0" w:space="0" w:color="auto"/>
      </w:divBdr>
    </w:div>
    <w:div w:id="1198737381">
      <w:bodyDiv w:val="1"/>
      <w:marLeft w:val="0"/>
      <w:marRight w:val="0"/>
      <w:marTop w:val="0"/>
      <w:marBottom w:val="0"/>
      <w:divBdr>
        <w:top w:val="none" w:sz="0" w:space="0" w:color="auto"/>
        <w:left w:val="none" w:sz="0" w:space="0" w:color="auto"/>
        <w:bottom w:val="none" w:sz="0" w:space="0" w:color="auto"/>
        <w:right w:val="none" w:sz="0" w:space="0" w:color="auto"/>
      </w:divBdr>
      <w:divsChild>
        <w:div w:id="924343892">
          <w:marLeft w:val="-324"/>
          <w:marRight w:val="-324"/>
          <w:marTop w:val="0"/>
          <w:marBottom w:val="0"/>
          <w:divBdr>
            <w:top w:val="none" w:sz="0" w:space="0" w:color="auto"/>
            <w:left w:val="none" w:sz="0" w:space="0" w:color="auto"/>
            <w:bottom w:val="none" w:sz="0" w:space="0" w:color="auto"/>
            <w:right w:val="none" w:sz="0" w:space="0" w:color="auto"/>
          </w:divBdr>
          <w:divsChild>
            <w:div w:id="1243418176">
              <w:marLeft w:val="333"/>
              <w:marRight w:val="333"/>
              <w:marTop w:val="0"/>
              <w:marBottom w:val="0"/>
              <w:divBdr>
                <w:top w:val="none" w:sz="0" w:space="0" w:color="auto"/>
                <w:left w:val="none" w:sz="0" w:space="0" w:color="auto"/>
                <w:bottom w:val="none" w:sz="0" w:space="0" w:color="auto"/>
                <w:right w:val="none" w:sz="0" w:space="0" w:color="auto"/>
              </w:divBdr>
            </w:div>
            <w:div w:id="1017266205">
              <w:marLeft w:val="333"/>
              <w:marRight w:val="333"/>
              <w:marTop w:val="0"/>
              <w:marBottom w:val="0"/>
              <w:divBdr>
                <w:top w:val="none" w:sz="0" w:space="0" w:color="auto"/>
                <w:left w:val="none" w:sz="0" w:space="0" w:color="auto"/>
                <w:bottom w:val="none" w:sz="0" w:space="0" w:color="auto"/>
                <w:right w:val="none" w:sz="0" w:space="0" w:color="auto"/>
              </w:divBdr>
            </w:div>
          </w:divsChild>
        </w:div>
      </w:divsChild>
    </w:div>
    <w:div w:id="176483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o.gov/assets/gao-24-107322.pdf" TargetMode="External"/><Relationship Id="rId3" Type="http://schemas.openxmlformats.org/officeDocument/2006/relationships/settings" Target="settings.xml"/><Relationship Id="rId7" Type="http://schemas.openxmlformats.org/officeDocument/2006/relationships/hyperlink" Target="https://www.publichealth.va.gov/exposures/pfa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Quint</dc:creator>
  <cp:keywords/>
  <dc:description/>
  <cp:lastModifiedBy>Vicki Quint</cp:lastModifiedBy>
  <cp:revision>3</cp:revision>
  <cp:lastPrinted>2025-08-25T16:02:00Z</cp:lastPrinted>
  <dcterms:created xsi:type="dcterms:W3CDTF">2025-09-10T00:49:00Z</dcterms:created>
  <dcterms:modified xsi:type="dcterms:W3CDTF">2025-09-10T00:49:00Z</dcterms:modified>
</cp:coreProperties>
</file>